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B25" w:rsidRDefault="00FE5B25" w:rsidP="00FE5B2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Задание №1 </w:t>
      </w:r>
    </w:p>
    <w:p w:rsidR="00FE5B25" w:rsidRDefault="00FE5B25" w:rsidP="00FE5B2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Дать описание с необходимыми схемами по одному из следующих вопросов.</w:t>
      </w:r>
    </w:p>
    <w:p w:rsidR="00FE5B25" w:rsidRDefault="00FE5B25" w:rsidP="00FE5B2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FE5B25" w:rsidRDefault="00FE5B25" w:rsidP="00FE5B2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1.  Структурная схема САР и назначение её основных элементов.</w:t>
      </w:r>
    </w:p>
    <w:p w:rsidR="00FE5B25" w:rsidRDefault="00FE5B25" w:rsidP="00FE5B2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2.   Автоматические регуляторы статические и астатические. Их характеристики.</w:t>
      </w:r>
    </w:p>
    <w:p w:rsidR="00FE5B25" w:rsidRDefault="00FE5B25" w:rsidP="00FE5B2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3.   Автоматические регуляторы прерывного и непрерывного действия. Их характери</w:t>
      </w:r>
      <w:r>
        <w:rPr>
          <w:sz w:val="28"/>
          <w:szCs w:val="28"/>
        </w:rPr>
        <w:softHyphen/>
        <w:t>стики.</w:t>
      </w:r>
    </w:p>
    <w:p w:rsidR="00FE5B25" w:rsidRDefault="00FE5B25" w:rsidP="00FE5B2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4.  Понятие о типовых звеньях САР. </w:t>
      </w:r>
      <w:proofErr w:type="spellStart"/>
      <w:r>
        <w:rPr>
          <w:sz w:val="28"/>
          <w:szCs w:val="28"/>
        </w:rPr>
        <w:t>Безинерционное</w:t>
      </w:r>
      <w:proofErr w:type="spellEnd"/>
      <w:r>
        <w:rPr>
          <w:sz w:val="28"/>
          <w:szCs w:val="28"/>
        </w:rPr>
        <w:t xml:space="preserve"> и инерционное звено.</w:t>
      </w:r>
    </w:p>
    <w:p w:rsidR="00FE5B25" w:rsidRDefault="00FE5B25" w:rsidP="00FE5B2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5.  Автоматические регуляторы прямого и непрямого действия. Их характеристики.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E5B25"/>
    <w:rsid w:val="00462413"/>
    <w:rsid w:val="00BF6D3B"/>
    <w:rsid w:val="00FE5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B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2017-10-29T13:03:00Z</dcterms:created>
  <dcterms:modified xsi:type="dcterms:W3CDTF">2017-10-29T13:04:00Z</dcterms:modified>
</cp:coreProperties>
</file>